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02D" w:rsidRPr="004A402D" w:rsidRDefault="004A402D" w:rsidP="004A402D">
      <w:pPr>
        <w:spacing w:after="0" w:line="240" w:lineRule="atLeast"/>
        <w:textAlignment w:val="baseline"/>
        <w:outlineLvl w:val="4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A402D">
        <w:rPr>
          <w:rFonts w:ascii="Helvetica" w:eastAsia="Times New Roman" w:hAnsi="Helvetica" w:cs="Helvetica"/>
          <w:color w:val="333333"/>
          <w:sz w:val="24"/>
          <w:szCs w:val="24"/>
        </w:rPr>
        <w:t>Informes de auditoría de cuentas y de fiscalización</w:t>
      </w:r>
    </w:p>
    <w:p w:rsidR="004A402D" w:rsidRDefault="004A402D" w:rsidP="004A402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1"/>
          <w:szCs w:val="21"/>
        </w:rPr>
      </w:pPr>
    </w:p>
    <w:p w:rsidR="004A402D" w:rsidRDefault="004A402D" w:rsidP="004A402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La entidad no realiza auditoría de cuentas y de fiscalización por los órganos de control externo ya que según se especifica en el artículo 263 del Real Decreto Legislativo 1/2010, de 2 de julio, por el que se aprueba el texto refundido de la Ley de Sociedades de Capital,</w:t>
      </w:r>
    </w:p>
    <w:p w:rsidR="004A402D" w:rsidRDefault="004A402D" w:rsidP="004A402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Artículo 263. Auditor de cuentas.</w:t>
      </w:r>
    </w:p>
    <w:p w:rsidR="004A402D" w:rsidRDefault="004A402D" w:rsidP="004A402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1. Las cuentas anuales y, en su caso, el informe de gestión deberán ser revisados por auditor de cuentas.</w:t>
      </w:r>
      <w:r>
        <w:rPr>
          <w:rFonts w:ascii="Arial" w:hAnsi="Arial" w:cs="Arial"/>
          <w:color w:val="666666"/>
          <w:sz w:val="21"/>
          <w:szCs w:val="21"/>
        </w:rPr>
        <w:br/>
        <w:t>2. Se exceptúa de esta obligación a las sociedades que durante dos ejercicios consecutivos reúnan, a la fecha de cierre de cada uno de ellos, al menos dos de las circunstancias siguientes:</w:t>
      </w:r>
    </w:p>
    <w:p w:rsidR="004A402D" w:rsidRDefault="004A402D" w:rsidP="004A402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a) Que el total de las partidas del activo no supere los dos millones ochocientos cincuenta mil euros.</w:t>
      </w:r>
      <w:r>
        <w:rPr>
          <w:rFonts w:ascii="Arial" w:hAnsi="Arial" w:cs="Arial"/>
          <w:color w:val="666666"/>
          <w:sz w:val="21"/>
          <w:szCs w:val="21"/>
        </w:rPr>
        <w:br/>
        <w:t>b) Que el importe neto de su cifra anual de negocios no supere los cinco millones setecientos mil euros.</w:t>
      </w:r>
      <w:r>
        <w:rPr>
          <w:rFonts w:ascii="Arial" w:hAnsi="Arial" w:cs="Arial"/>
          <w:color w:val="666666"/>
          <w:sz w:val="21"/>
          <w:szCs w:val="21"/>
        </w:rPr>
        <w:br/>
        <w:t>c) Que el número medio de trabajadores empleados durante el ejercicio no sea superior a cincuenta.</w:t>
      </w:r>
    </w:p>
    <w:p w:rsidR="004A402D" w:rsidRDefault="004A402D" w:rsidP="004A402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Nuestra entidad no reúne ninguna de las circunstancias reflejadas en los apartados anteriores.</w:t>
      </w:r>
    </w:p>
    <w:p w:rsidR="00000000" w:rsidRDefault="004A402D"/>
    <w:sectPr w:rsidR="000000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A402D"/>
    <w:rsid w:val="004A4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ar"/>
    <w:uiPriority w:val="9"/>
    <w:qFormat/>
    <w:rsid w:val="004A402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4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4A402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Asesoria</dc:creator>
  <cp:keywords/>
  <dc:description/>
  <cp:lastModifiedBy>Asesoria</cp:lastModifiedBy>
  <cp:revision>2</cp:revision>
  <dcterms:created xsi:type="dcterms:W3CDTF">2022-06-22T12:52:00Z</dcterms:created>
  <dcterms:modified xsi:type="dcterms:W3CDTF">2022-06-22T12:53:00Z</dcterms:modified>
</cp:coreProperties>
</file>